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keepNext/>
      </w:pPr>
      <w:r>
        <w:t xml:space="preserve">Brevo Mailchimp and Kit comparison for a small B2B team</w:t>
      </w:r>
    </w:p>
    <w:p>
      <w:pPr>
        <w:spacing w:after="140"/>
      </w:pPr>
      <w:r>
        <w:rPr>
          <w:b/>
          <w:bCs/>
          <w:i w:val="false"/>
          <w:iCs w:val="false"/>
        </w:rPr>
        <w:t xml:space="preserve">Research date:</w:t>
      </w:r>
      <w:r>
        <w:rPr>
          <w:b w:val="false"/>
          <w:bCs w:val="false"/>
          <w:i w:val="false"/>
          <w:iCs w:val="false"/>
        </w:rPr>
        <w:t xml:space="preserve"> 10 September 2026. This public Mika demonstration helps a small B2B team structure an email-tool shortlist. It is not a customer case or a comprehensive purchasing recommendation.</w:t>
      </w:r>
    </w:p>
    <w:p>
      <w:pPr>
        <w:pStyle w:val="Heading2"/>
        <w:keepNext/>
        <w:spacing w:after="140" w:before="220"/>
      </w:pPr>
      <w:r>
        <w:rPr>
          <w:b w:val="false"/>
          <w:bCs w:val="false"/>
          <w:i w:val="false"/>
          <w:iCs w:val="false"/>
        </w:rPr>
        <w:t xml:space="preserve">Research brief</w:t>
      </w:r>
    </w:p>
    <w:p>
      <w:pPr>
        <w:spacing w:after="140"/>
      </w:pPr>
      <w:r>
        <w:rPr>
          <w:b w:val="false"/>
          <w:bCs w:val="false"/>
          <w:i w:val="false"/>
          <w:iCs w:val="false"/>
        </w:rPr>
        <w:t xml:space="preserve">Compare Brevo, Mailchimp and Kit using official public pages. Assume 2–5 marketers, a list in the low thousands, lead-capture forms, segmentation, basic lifecycle automation and CRM connectivity. These are illustrative requirements, not customer facts.</w:t>
      </w:r>
    </w:p>
    <w:p>
      <w:pPr>
        <w:pStyle w:val="Heading2"/>
        <w:keepNext/>
        <w:spacing w:after="140" w:before="220"/>
      </w:pPr>
      <w:r>
        <w:rPr>
          <w:b w:val="false"/>
          <w:bCs w:val="false"/>
          <w:i w:val="false"/>
          <w:iCs w:val="false"/>
        </w:rPr>
        <w:t xml:space="preserve">Reading the comparison</w:t>
      </w:r>
    </w:p>
    <w:p>
      <w:pPr>
        <w:spacing w:after="140"/>
      </w:pPr>
      <w:r>
        <w:rPr>
          <w:b w:val="false"/>
          <w:bCs w:val="false"/>
          <w:i w:val="false"/>
          <w:iCs w:val="false"/>
        </w:rPr>
        <w:t xml:space="preserve">The accompanying table records vendor-described capabilities, not independently tested performance. Each row lists source keys in Brevo, Mailchimp, Kit order. Pricing amounts remain unknown because plan, currency, billing term, contact count and send volume were not verified on a common basis.</w:t>
      </w:r>
    </w:p>
    <w:p>
      <w:pPr>
        <w:pStyle w:val="Heading2"/>
        <w:keepNext/>
        <w:spacing w:after="140" w:before="220"/>
      </w:pPr>
      <w:r>
        <w:rPr>
          <w:b w:val="false"/>
          <w:bCs w:val="false"/>
          <w:i w:val="false"/>
          <w:iCs w:val="false"/>
        </w:rPr>
        <w:t xml:space="preserve">Shortlist by use case</w:t>
      </w:r>
    </w:p>
    <w:p>
      <w:pPr>
        <w:spacing w:after="140"/>
      </w:pPr>
      <w:r>
        <w:rPr>
          <w:b w:val="false"/>
          <w:bCs w:val="false"/>
          <w:i w:val="false"/>
          <w:iCs w:val="false"/>
        </w:rPr>
        <w:t xml:space="preserve">These are editorial inferences to guide evaluation: investigate Brevo for multi-channel requirements, Mailchimp when its app directory matches the existing stack, and Kit for newsletter-led audience growth. Actual fit depends on required integrations, permissions and workflow limits. No universal winner is established.</w:t>
      </w:r>
    </w:p>
    <w:p>
      <w:pPr>
        <w:pStyle w:val="Heading2"/>
        <w:keepNext/>
        <w:spacing w:after="140" w:before="220"/>
      </w:pPr>
      <w:r>
        <w:rPr>
          <w:b w:val="false"/>
          <w:bCs w:val="false"/>
          <w:i w:val="false"/>
          <w:iCs w:val="false"/>
        </w:rPr>
        <w:t xml:space="preserve">Unresolved questions</w:t>
      </w:r>
    </w:p>
    <w:p>
      <w:pPr>
        <w:spacing w:after="100"/>
      </w:pPr>
      <w:r>
        <w:t xml:space="preserve">• What do all three cost at the same defined contact count, send volume, currency and billing term?</w:t>
      </w:r>
    </w:p>
    <w:p>
      <w:pPr>
        <w:spacing w:after="100"/>
      </w:pPr>
      <w:r>
        <w:t xml:space="preserve">• Which plan supports the required automations, seats, forms and reporting?</w:t>
      </w:r>
    </w:p>
    <w:p>
      <w:pPr>
        <w:spacing w:after="100"/>
      </w:pPr>
      <w:r>
        <w:t xml:space="preserve">• Which required CRM integrations are native, paid add-ons or third-party connections?</w:t>
      </w:r>
    </w:p>
    <w:p>
      <w:pPr>
        <w:pStyle w:val="Heading2"/>
        <w:keepNext/>
        <w:spacing w:after="140" w:before="220"/>
      </w:pPr>
      <w:r>
        <w:rPr>
          <w:b w:val="false"/>
          <w:bCs w:val="false"/>
          <w:i w:val="false"/>
          <w:iCs w:val="false"/>
        </w:rPr>
        <w:t xml:space="preserve">Execution and review</w:t>
      </w:r>
    </w:p>
    <w:p>
      <w:pPr>
        <w:spacing w:after="140"/>
      </w:pPr>
      <w:r>
        <w:rPr>
          <w:b w:val="false"/>
          <w:bCs w:val="false"/>
          <w:i w:val="false"/>
          <w:iCs w:val="false"/>
        </w:rPr>
        <w:t xml:space="preserve">Mika read eight official pages; three other page reads failed. No trial accounts, vendor contact or hands-on tests were used. The run included one requested revision. Before publication an automated editorial source review shortened the narrative, removed unsupported rankings and numeric plan claims, and corrected source mapping. The downloads use Mika's export formats. Raw vendor page text is omitted; the source ledger retains URLs and access dates. This demonstration is not counted as a real user conversion.</w:t>
      </w:r>
    </w:p>
    <w:p>
      <w:pPr>
        <w:pStyle w:val="Heading2"/>
        <w:keepNext/>
      </w:pPr>
      <w:r>
        <w:t xml:space="preserve">Tool comparison</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cantSplit/>
          <w:tblHeader/>
        </w:trPr>
        <w:tc>
          <w:tcPr>
            <w:tcMar>
              <w:top w:type="dxa" w:w="100"/>
              <w:left w:type="dxa" w:w="100"/>
              <w:bottom w:type="dxa" w:w="100"/>
              <w:right w:type="dxa" w:w="100"/>
            </w:tcMar>
          </w:tcPr>
          <w:p>
            <w:pPr>
              <w:spacing w:after="60"/>
            </w:pPr>
            <w:r>
              <w:rPr>
                <w:b/>
                <w:bCs/>
              </w:rPr>
              <w:t xml:space="preserve">Dimension</w:t>
            </w:r>
          </w:p>
        </w:tc>
        <w:tc>
          <w:tcPr>
            <w:tcMar>
              <w:top w:type="dxa" w:w="100"/>
              <w:left w:type="dxa" w:w="100"/>
              <w:bottom w:type="dxa" w:w="100"/>
              <w:right w:type="dxa" w:w="100"/>
            </w:tcMar>
          </w:tcPr>
          <w:p>
            <w:pPr>
              <w:spacing w:after="60"/>
            </w:pPr>
            <w:r>
              <w:rPr>
                <w:b/>
                <w:bCs/>
              </w:rPr>
              <w:t xml:space="preserve">Brevo</w:t>
            </w:r>
          </w:p>
        </w:tc>
        <w:tc>
          <w:tcPr>
            <w:tcMar>
              <w:top w:type="dxa" w:w="100"/>
              <w:left w:type="dxa" w:w="100"/>
              <w:bottom w:type="dxa" w:w="100"/>
              <w:right w:type="dxa" w:w="100"/>
            </w:tcMar>
          </w:tcPr>
          <w:p>
            <w:pPr>
              <w:spacing w:after="60"/>
            </w:pPr>
            <w:r>
              <w:rPr>
                <w:b/>
                <w:bCs/>
              </w:rPr>
              <w:t xml:space="preserve">Mailchimp</w:t>
            </w:r>
          </w:p>
        </w:tc>
        <w:tc>
          <w:tcPr>
            <w:tcMar>
              <w:top w:type="dxa" w:w="100"/>
              <w:left w:type="dxa" w:w="100"/>
              <w:bottom w:type="dxa" w:w="100"/>
              <w:right w:type="dxa" w:w="100"/>
            </w:tcMar>
          </w:tcPr>
          <w:p>
            <w:pPr>
              <w:spacing w:after="60"/>
            </w:pPr>
            <w:r>
              <w:rPr>
                <w:b/>
                <w:bCs/>
              </w:rPr>
              <w:t xml:space="preserve">Kit</w:t>
            </w:r>
          </w:p>
        </w:tc>
        <w:tc>
          <w:tcPr>
            <w:tcMar>
              <w:top w:type="dxa" w:w="100"/>
              <w:left w:type="dxa" w:w="100"/>
              <w:bottom w:type="dxa" w:w="100"/>
              <w:right w:type="dxa" w:w="100"/>
            </w:tcMar>
          </w:tcPr>
          <w:p>
            <w:pPr>
              <w:spacing w:after="60"/>
            </w:pPr>
            <w:r>
              <w:rPr>
                <w:b/>
                <w:bCs/>
              </w:rPr>
              <w:t xml:space="preserve">Source keys</w:t>
            </w:r>
          </w:p>
        </w:tc>
      </w:tr>
      <w:tr>
        <w:trPr>
          <w:cantSplit/>
          <w:tblHeader w:val="false"/>
        </w:trPr>
        <w:tc>
          <w:tcPr>
            <w:tcMar>
              <w:top w:type="dxa" w:w="100"/>
              <w:left w:type="dxa" w:w="100"/>
              <w:bottom w:type="dxa" w:w="100"/>
              <w:right w:type="dxa" w:w="100"/>
            </w:tcMar>
          </w:tcPr>
          <w:p>
            <w:pPr>
              <w:spacing w:after="60"/>
            </w:pPr>
            <w:r>
              <w:rPr>
                <w:b w:val="false"/>
                <w:bCs w:val="false"/>
              </w:rPr>
              <w:t xml:space="preserve">Audience</w:t>
            </w:r>
          </w:p>
        </w:tc>
        <w:tc>
          <w:tcPr>
            <w:tcMar>
              <w:top w:type="dxa" w:w="100"/>
              <w:left w:type="dxa" w:w="100"/>
              <w:bottom w:type="dxa" w:w="100"/>
              <w:right w:type="dxa" w:w="100"/>
            </w:tcMar>
          </w:tcPr>
          <w:p>
            <w:pPr>
              <w:spacing w:after="60"/>
            </w:pPr>
            <w:r>
              <w:rPr>
                <w:b w:val="false"/>
                <w:bCs w:val="false"/>
              </w:rPr>
              <w:t xml:space="preserve">Tier labels address individuals, single users, small businesses, teams, large-contact companies</w:t>
            </w:r>
          </w:p>
        </w:tc>
        <w:tc>
          <w:tcPr>
            <w:tcMar>
              <w:top w:type="dxa" w:w="100"/>
              <w:left w:type="dxa" w:w="100"/>
              <w:bottom w:type="dxa" w:w="100"/>
              <w:right w:type="dxa" w:w="100"/>
            </w:tcMar>
          </w:tcPr>
          <w:p>
            <w:pPr>
              <w:spacing w:after="60"/>
            </w:pPr>
            <w:r>
              <w:rPr>
                <w:b w:val="false"/>
                <w:bCs w:val="false"/>
              </w:rPr>
              <w:t xml:space="preserve">Tiers address small businesses through teams needing priority support</w:t>
            </w:r>
          </w:p>
        </w:tc>
        <w:tc>
          <w:tcPr>
            <w:tcMar>
              <w:top w:type="dxa" w:w="100"/>
              <w:left w:type="dxa" w:w="100"/>
              <w:bottom w:type="dxa" w:w="100"/>
              <w:right w:type="dxa" w:w="100"/>
            </w:tcMar>
          </w:tcPr>
          <w:p>
            <w:pPr>
              <w:spacing w:after="60"/>
            </w:pPr>
            <w:r>
              <w:rPr>
                <w:b w:val="false"/>
                <w:bCs w:val="false"/>
              </w:rPr>
              <w:t xml:space="preserve">Tiers and testimonials are creator-, author- and newsletter-oriented</w:t>
            </w:r>
          </w:p>
        </w:tc>
        <w:tc>
          <w:tcPr>
            <w:tcMar>
              <w:top w:type="dxa" w:w="100"/>
              <w:left w:type="dxa" w:w="100"/>
              <w:bottom w:type="dxa" w:w="100"/>
              <w:right w:type="dxa" w:w="100"/>
            </w:tcMar>
          </w:tcPr>
          <w:p>
            <w:pPr>
              <w:spacing w:after="60"/>
            </w:pPr>
            <w:r>
              <w:rPr>
                <w:b w:val="false"/>
                <w:bCs w:val="false"/>
              </w:rPr>
              <w:t xml:space="preserve">S1, S2, S3</w:t>
            </w:r>
          </w:p>
        </w:tc>
      </w:tr>
      <w:tr>
        <w:trPr>
          <w:cantSplit/>
          <w:tblHeader w:val="false"/>
        </w:trPr>
        <w:tc>
          <w:tcPr>
            <w:tcMar>
              <w:top w:type="dxa" w:w="100"/>
              <w:left w:type="dxa" w:w="100"/>
              <w:bottom w:type="dxa" w:w="100"/>
              <w:right w:type="dxa" w:w="100"/>
            </w:tcMar>
          </w:tcPr>
          <w:p>
            <w:pPr>
              <w:spacing w:after="60"/>
            </w:pPr>
            <w:r>
              <w:rPr>
                <w:b w:val="false"/>
                <w:bCs w:val="false"/>
              </w:rPr>
              <w:t xml:space="preserve">Automation</w:t>
            </w:r>
          </w:p>
        </w:tc>
        <w:tc>
          <w:tcPr>
            <w:tcMar>
              <w:top w:type="dxa" w:w="100"/>
              <w:left w:type="dxa" w:w="100"/>
              <w:bottom w:type="dxa" w:w="100"/>
              <w:right w:type="dxa" w:w="100"/>
            </w:tcMar>
          </w:tcPr>
          <w:p>
            <w:pPr>
              <w:spacing w:after="60"/>
            </w:pPr>
            <w:r>
              <w:rPr>
                <w:b w:val="false"/>
                <w:bCs w:val="false"/>
              </w:rPr>
              <w:t xml:space="preserve">Multi-step automated workflows described from Standard tier</w:t>
            </w:r>
          </w:p>
        </w:tc>
        <w:tc>
          <w:tcPr>
            <w:tcMar>
              <w:top w:type="dxa" w:w="100"/>
              <w:left w:type="dxa" w:w="100"/>
              <w:bottom w:type="dxa" w:w="100"/>
              <w:right w:type="dxa" w:w="100"/>
            </w:tcMar>
          </w:tcPr>
          <w:p>
            <w:pPr>
              <w:spacing w:after="60"/>
            </w:pPr>
            <w:r>
              <w:rPr>
                <w:b w:val="false"/>
                <w:bCs w:val="false"/>
              </w:rPr>
              <w:t xml:space="preserve">Trigger-based flows and pre-built flow templates described</w:t>
            </w:r>
          </w:p>
        </w:tc>
        <w:tc>
          <w:tcPr>
            <w:tcMar>
              <w:top w:type="dxa" w:w="100"/>
              <w:left w:type="dxa" w:w="100"/>
              <w:bottom w:type="dxa" w:w="100"/>
              <w:right w:type="dxa" w:w="100"/>
            </w:tcMar>
          </w:tcPr>
          <w:p>
            <w:pPr>
              <w:spacing w:after="60"/>
            </w:pPr>
            <w:r>
              <w:rPr>
                <w:b w:val="false"/>
                <w:bCs w:val="false"/>
              </w:rPr>
              <w:t xml:space="preserve">Visual drag-and-drop builder with branched paths and pre-built creator funnels</w:t>
            </w:r>
          </w:p>
        </w:tc>
        <w:tc>
          <w:tcPr>
            <w:tcMar>
              <w:top w:type="dxa" w:w="100"/>
              <w:left w:type="dxa" w:w="100"/>
              <w:bottom w:type="dxa" w:w="100"/>
              <w:right w:type="dxa" w:w="100"/>
            </w:tcMar>
          </w:tcPr>
          <w:p>
            <w:pPr>
              <w:spacing w:after="60"/>
            </w:pPr>
            <w:r>
              <w:rPr>
                <w:b w:val="false"/>
                <w:bCs w:val="false"/>
              </w:rPr>
              <w:t xml:space="preserve">S1, S5, S4</w:t>
            </w:r>
          </w:p>
        </w:tc>
      </w:tr>
      <w:tr>
        <w:trPr>
          <w:cantSplit/>
          <w:tblHeader w:val="false"/>
        </w:trPr>
        <w:tc>
          <w:tcPr>
            <w:tcMar>
              <w:top w:type="dxa" w:w="100"/>
              <w:left w:type="dxa" w:w="100"/>
              <w:bottom w:type="dxa" w:w="100"/>
              <w:right w:type="dxa" w:w="100"/>
            </w:tcMar>
          </w:tcPr>
          <w:p>
            <w:pPr>
              <w:spacing w:after="60"/>
            </w:pPr>
            <w:r>
              <w:rPr>
                <w:b w:val="false"/>
                <w:bCs w:val="false"/>
              </w:rPr>
              <w:t xml:space="preserve">Segmentation</w:t>
            </w:r>
          </w:p>
        </w:tc>
        <w:tc>
          <w:tcPr>
            <w:tcMar>
              <w:top w:type="dxa" w:w="100"/>
              <w:left w:type="dxa" w:w="100"/>
              <w:bottom w:type="dxa" w:w="100"/>
              <w:right w:type="dxa" w:w="100"/>
            </w:tcMar>
          </w:tcPr>
          <w:p>
            <w:pPr>
              <w:spacing w:after="60"/>
            </w:pPr>
            <w:r>
              <w:rPr>
                <w:b w:val="false"/>
                <w:bCs w:val="false"/>
              </w:rPr>
              <w:t xml:space="preserve">Segmentation listed at Starter; scoring at higher tiers</w:t>
            </w:r>
          </w:p>
        </w:tc>
        <w:tc>
          <w:tcPr>
            <w:tcMar>
              <w:top w:type="dxa" w:w="100"/>
              <w:left w:type="dxa" w:w="100"/>
              <w:bottom w:type="dxa" w:w="100"/>
              <w:right w:type="dxa" w:w="100"/>
            </w:tcMar>
          </w:tcPr>
          <w:p>
            <w:pPr>
              <w:spacing w:after="60"/>
            </w:pPr>
            <w:r>
              <w:rPr>
                <w:b w:val="false"/>
                <w:bCs w:val="false"/>
              </w:rPr>
              <w:t xml:space="preserve">Segmentation described; exact plan mapping needs confirmation</w:t>
            </w:r>
          </w:p>
        </w:tc>
        <w:tc>
          <w:tcPr>
            <w:tcMar>
              <w:top w:type="dxa" w:w="100"/>
              <w:left w:type="dxa" w:w="100"/>
              <w:bottom w:type="dxa" w:w="100"/>
              <w:right w:type="dxa" w:w="100"/>
            </w:tcMar>
          </w:tcPr>
          <w:p>
            <w:pPr>
              <w:spacing w:after="60"/>
            </w:pPr>
            <w:r>
              <w:rPr>
                <w:b w:val="false"/>
                <w:bCs w:val="false"/>
              </w:rPr>
              <w:t xml:space="preserve">Subscriber tags and tag-based segments</w:t>
            </w:r>
          </w:p>
        </w:tc>
        <w:tc>
          <w:tcPr>
            <w:tcMar>
              <w:top w:type="dxa" w:w="100"/>
              <w:left w:type="dxa" w:w="100"/>
              <w:bottom w:type="dxa" w:w="100"/>
              <w:right w:type="dxa" w:w="100"/>
            </w:tcMar>
          </w:tcPr>
          <w:p>
            <w:pPr>
              <w:spacing w:after="60"/>
            </w:pPr>
            <w:r>
              <w:rPr>
                <w:b w:val="false"/>
                <w:bCs w:val="false"/>
              </w:rPr>
              <w:t xml:space="preserve">S1, S5, S3</w:t>
            </w:r>
          </w:p>
        </w:tc>
      </w:tr>
      <w:tr>
        <w:trPr>
          <w:cantSplit/>
          <w:tblHeader w:val="false"/>
        </w:trPr>
        <w:tc>
          <w:tcPr>
            <w:tcMar>
              <w:top w:type="dxa" w:w="100"/>
              <w:left w:type="dxa" w:w="100"/>
              <w:bottom w:type="dxa" w:w="100"/>
              <w:right w:type="dxa" w:w="100"/>
            </w:tcMar>
          </w:tcPr>
          <w:p>
            <w:pPr>
              <w:spacing w:after="60"/>
            </w:pPr>
            <w:r>
              <w:rPr>
                <w:b w:val="false"/>
                <w:bCs w:val="false"/>
              </w:rPr>
              <w:t xml:space="preserve">Forms</w:t>
            </w:r>
          </w:p>
        </w:tc>
        <w:tc>
          <w:tcPr>
            <w:tcMar>
              <w:top w:type="dxa" w:w="100"/>
              <w:left w:type="dxa" w:w="100"/>
              <w:bottom w:type="dxa" w:w="100"/>
              <w:right w:type="dxa" w:w="100"/>
            </w:tcMar>
          </w:tcPr>
          <w:p>
            <w:pPr>
              <w:spacing w:after="60"/>
            </w:pPr>
            <w:r>
              <w:rPr>
                <w:b w:val="false"/>
                <w:bCs w:val="false"/>
              </w:rPr>
              <w:t xml:space="preserve">Branded lead-capture forms from Starter; landing pages described at Standard</w:t>
            </w:r>
          </w:p>
        </w:tc>
        <w:tc>
          <w:tcPr>
            <w:tcMar>
              <w:top w:type="dxa" w:w="100"/>
              <w:left w:type="dxa" w:w="100"/>
              <w:bottom w:type="dxa" w:w="100"/>
              <w:right w:type="dxa" w:w="100"/>
            </w:tcMar>
          </w:tcPr>
          <w:p>
            <w:pPr>
              <w:spacing w:after="60"/>
            </w:pPr>
            <w:r>
              <w:rPr>
                <w:b w:val="false"/>
                <w:bCs w:val="false"/>
              </w:rPr>
              <w:t xml:space="preserve">Popup forms described</w:t>
            </w:r>
          </w:p>
        </w:tc>
        <w:tc>
          <w:tcPr>
            <w:tcMar>
              <w:top w:type="dxa" w:w="100"/>
              <w:left w:type="dxa" w:w="100"/>
              <w:bottom w:type="dxa" w:w="100"/>
              <w:right w:type="dxa" w:w="100"/>
            </w:tcMar>
          </w:tcPr>
          <w:p>
            <w:pPr>
              <w:spacing w:after="60"/>
            </w:pPr>
            <w:r>
              <w:rPr>
                <w:b w:val="false"/>
                <w:bCs w:val="false"/>
              </w:rPr>
              <w:t xml:space="preserve">Opt-in forms and landing pages, embeddable as modal, sticky bar, slide-in or inline</w:t>
            </w:r>
          </w:p>
        </w:tc>
        <w:tc>
          <w:tcPr>
            <w:tcMar>
              <w:top w:type="dxa" w:w="100"/>
              <w:left w:type="dxa" w:w="100"/>
              <w:bottom w:type="dxa" w:w="100"/>
              <w:right w:type="dxa" w:w="100"/>
            </w:tcMar>
          </w:tcPr>
          <w:p>
            <w:pPr>
              <w:spacing w:after="60"/>
            </w:pPr>
            <w:r>
              <w:rPr>
                <w:b w:val="false"/>
                <w:bCs w:val="false"/>
              </w:rPr>
              <w:t xml:space="preserve">S1, S2, S3</w:t>
            </w:r>
          </w:p>
        </w:tc>
      </w:tr>
      <w:tr>
        <w:trPr>
          <w:cantSplit/>
          <w:tblHeader w:val="false"/>
        </w:trPr>
        <w:tc>
          <w:tcPr>
            <w:tcMar>
              <w:top w:type="dxa" w:w="100"/>
              <w:left w:type="dxa" w:w="100"/>
              <w:bottom w:type="dxa" w:w="100"/>
              <w:right w:type="dxa" w:w="100"/>
            </w:tcMar>
          </w:tcPr>
          <w:p>
            <w:pPr>
              <w:spacing w:after="60"/>
            </w:pPr>
            <w:r>
              <w:rPr>
                <w:b w:val="false"/>
                <w:bCs w:val="false"/>
              </w:rPr>
              <w:t xml:space="preserve">Reporting</w:t>
            </w:r>
          </w:p>
        </w:tc>
        <w:tc>
          <w:tcPr>
            <w:tcMar>
              <w:top w:type="dxa" w:w="100"/>
              <w:left w:type="dxa" w:w="100"/>
              <w:bottom w:type="dxa" w:w="100"/>
              <w:right w:type="dxa" w:w="100"/>
            </w:tcMar>
          </w:tcPr>
          <w:p>
            <w:pPr>
              <w:spacing w:after="60"/>
            </w:pPr>
            <w:r>
              <w:rPr>
                <w:b w:val="false"/>
                <w:bCs w:val="false"/>
              </w:rPr>
              <w:t xml:space="preserve">Basic open and click reporting at Starter; advanced email reporting at Standard</w:t>
            </w:r>
          </w:p>
        </w:tc>
        <w:tc>
          <w:tcPr>
            <w:tcMar>
              <w:top w:type="dxa" w:w="100"/>
              <w:left w:type="dxa" w:w="100"/>
              <w:bottom w:type="dxa" w:w="100"/>
              <w:right w:type="dxa" w:w="100"/>
            </w:tcMar>
          </w:tcPr>
          <w:p>
            <w:pPr>
              <w:spacing w:after="60"/>
            </w:pPr>
            <w:r>
              <w:rPr>
                <w:b w:val="false"/>
                <w:bCs w:val="false"/>
              </w:rPr>
              <w:t xml:space="preserve">Custom reports and dynamic content described at higher tiers</w:t>
            </w:r>
          </w:p>
        </w:tc>
        <w:tc>
          <w:tcPr>
            <w:tcMar>
              <w:top w:type="dxa" w:w="100"/>
              <w:left w:type="dxa" w:w="100"/>
              <w:bottom w:type="dxa" w:w="100"/>
              <w:right w:type="dxa" w:w="100"/>
            </w:tcMar>
          </w:tcPr>
          <w:p>
            <w:pPr>
              <w:spacing w:after="60"/>
            </w:pPr>
            <w:r>
              <w:rPr>
                <w:b w:val="false"/>
                <w:bCs w:val="false"/>
              </w:rPr>
              <w:t xml:space="preserve">List-growth reporting; engagement and deliverability reporting at higher tiers</w:t>
            </w:r>
          </w:p>
        </w:tc>
        <w:tc>
          <w:tcPr>
            <w:tcMar>
              <w:top w:type="dxa" w:w="100"/>
              <w:left w:type="dxa" w:w="100"/>
              <w:bottom w:type="dxa" w:w="100"/>
              <w:right w:type="dxa" w:w="100"/>
            </w:tcMar>
          </w:tcPr>
          <w:p>
            <w:pPr>
              <w:spacing w:after="60"/>
            </w:pPr>
            <w:r>
              <w:rPr>
                <w:b w:val="false"/>
                <w:bCs w:val="false"/>
              </w:rPr>
              <w:t xml:space="preserve">S1, S2, S3</w:t>
            </w:r>
          </w:p>
        </w:tc>
      </w:tr>
      <w:tr>
        <w:trPr>
          <w:cantSplit/>
          <w:tblHeader w:val="false"/>
        </w:trPr>
        <w:tc>
          <w:tcPr>
            <w:tcMar>
              <w:top w:type="dxa" w:w="100"/>
              <w:left w:type="dxa" w:w="100"/>
              <w:bottom w:type="dxa" w:w="100"/>
              <w:right w:type="dxa" w:w="100"/>
            </w:tcMar>
          </w:tcPr>
          <w:p>
            <w:pPr>
              <w:spacing w:after="60"/>
            </w:pPr>
            <w:r>
              <w:rPr>
                <w:b w:val="false"/>
                <w:bCs w:val="false"/>
              </w:rPr>
              <w:t xml:space="preserve">Integrations</w:t>
            </w:r>
          </w:p>
        </w:tc>
        <w:tc>
          <w:tcPr>
            <w:tcMar>
              <w:top w:type="dxa" w:w="100"/>
              <w:left w:type="dxa" w:w="100"/>
              <w:bottom w:type="dxa" w:w="100"/>
              <w:right w:type="dxa" w:w="100"/>
            </w:tcMar>
          </w:tcPr>
          <w:p>
            <w:pPr>
              <w:spacing w:after="60"/>
            </w:pPr>
            <w:r>
              <w:rPr>
                <w:b w:val="false"/>
                <w:bCs w:val="false"/>
              </w:rPr>
              <w:t xml:space="preserve">App marketplace with CMS and e-commerce connectors plus Zapier-based connectivity</w:t>
            </w:r>
          </w:p>
        </w:tc>
        <w:tc>
          <w:tcPr>
            <w:tcMar>
              <w:top w:type="dxa" w:w="100"/>
              <w:left w:type="dxa" w:w="100"/>
              <w:bottom w:type="dxa" w:w="100"/>
              <w:right w:type="dxa" w:w="100"/>
            </w:tcMar>
          </w:tcPr>
          <w:p>
            <w:pPr>
              <w:spacing w:after="60"/>
            </w:pPr>
            <w:r>
              <w:rPr>
                <w:b w:val="false"/>
                <w:bCs w:val="false"/>
              </w:rPr>
              <w:t xml:space="preserve">App directory described</w:t>
            </w:r>
          </w:p>
        </w:tc>
        <w:tc>
          <w:tcPr>
            <w:tcMar>
              <w:top w:type="dxa" w:w="100"/>
              <w:left w:type="dxa" w:w="100"/>
              <w:bottom w:type="dxa" w:w="100"/>
              <w:right w:type="dxa" w:w="100"/>
            </w:tcMar>
          </w:tcPr>
          <w:p>
            <w:pPr>
              <w:spacing w:after="60"/>
            </w:pPr>
            <w:r>
              <w:rPr>
                <w:b w:val="false"/>
                <w:bCs w:val="false"/>
              </w:rPr>
              <w:t xml:space="preserve">App directory and API; verify required connector</w:t>
            </w:r>
          </w:p>
        </w:tc>
        <w:tc>
          <w:tcPr>
            <w:tcMar>
              <w:top w:type="dxa" w:w="100"/>
              <w:left w:type="dxa" w:w="100"/>
              <w:bottom w:type="dxa" w:w="100"/>
              <w:right w:type="dxa" w:w="100"/>
            </w:tcMar>
          </w:tcPr>
          <w:p>
            <w:pPr>
              <w:spacing w:after="60"/>
            </w:pPr>
            <w:r>
              <w:rPr>
                <w:b w:val="false"/>
                <w:bCs w:val="false"/>
              </w:rPr>
              <w:t xml:space="preserve">S6, S7, S8</w:t>
            </w:r>
          </w:p>
        </w:tc>
      </w:tr>
      <w:tr>
        <w:trPr>
          <w:cantSplit/>
          <w:tblHeader w:val="false"/>
        </w:trPr>
        <w:tc>
          <w:tcPr>
            <w:tcMar>
              <w:top w:type="dxa" w:w="100"/>
              <w:left w:type="dxa" w:w="100"/>
              <w:bottom w:type="dxa" w:w="100"/>
              <w:right w:type="dxa" w:w="100"/>
            </w:tcMar>
          </w:tcPr>
          <w:p>
            <w:pPr>
              <w:spacing w:after="60"/>
            </w:pPr>
            <w:r>
              <w:rPr>
                <w:b w:val="false"/>
                <w:bCs w:val="false"/>
              </w:rPr>
              <w:t xml:space="preserve">Pricing basis</w:t>
            </w:r>
          </w:p>
        </w:tc>
        <w:tc>
          <w:tcPr>
            <w:tcMar>
              <w:top w:type="dxa" w:w="100"/>
              <w:left w:type="dxa" w:w="100"/>
              <w:bottom w:type="dxa" w:w="100"/>
              <w:right w:type="dxa" w:w="100"/>
            </w:tcMar>
          </w:tcPr>
          <w:p>
            <w:pPr>
              <w:spacing w:after="60"/>
            </w:pPr>
            <w:r>
              <w:rPr>
                <w:b w:val="false"/>
                <w:bCs w:val="false"/>
              </w:rPr>
              <w:t xml:space="preserve">Send-volume plans; confirm current options and add-ons</w:t>
            </w:r>
          </w:p>
        </w:tc>
        <w:tc>
          <w:tcPr>
            <w:tcMar>
              <w:top w:type="dxa" w:w="100"/>
              <w:left w:type="dxa" w:w="100"/>
              <w:bottom w:type="dxa" w:w="100"/>
              <w:right w:type="dxa" w:w="100"/>
            </w:tcMar>
          </w:tcPr>
          <w:p>
            <w:pPr>
              <w:spacing w:after="60"/>
            </w:pPr>
            <w:r>
              <w:rPr>
                <w:b w:val="false"/>
                <w:bCs w:val="false"/>
              </w:rPr>
              <w:t xml:space="preserve">By contact tier with send limits and overage billing</w:t>
            </w:r>
          </w:p>
        </w:tc>
        <w:tc>
          <w:tcPr>
            <w:tcMar>
              <w:top w:type="dxa" w:w="100"/>
              <w:left w:type="dxa" w:w="100"/>
              <w:bottom w:type="dxa" w:w="100"/>
              <w:right w:type="dxa" w:w="100"/>
            </w:tcMar>
          </w:tcPr>
          <w:p>
            <w:pPr>
              <w:spacing w:after="60"/>
            </w:pPr>
            <w:r>
              <w:rPr>
                <w:b w:val="false"/>
                <w:bCs w:val="false"/>
              </w:rPr>
              <w:t xml:space="preserve">By subscriber count; yearly billing discount</w:t>
            </w:r>
          </w:p>
        </w:tc>
        <w:tc>
          <w:tcPr>
            <w:tcMar>
              <w:top w:type="dxa" w:w="100"/>
              <w:left w:type="dxa" w:w="100"/>
              <w:bottom w:type="dxa" w:w="100"/>
              <w:right w:type="dxa" w:w="100"/>
            </w:tcMar>
          </w:tcPr>
          <w:p>
            <w:pPr>
              <w:spacing w:after="60"/>
            </w:pPr>
            <w:r>
              <w:rPr>
                <w:b w:val="false"/>
                <w:bCs w:val="false"/>
              </w:rPr>
              <w:t xml:space="preserve">S1, S2, S3</w:t>
            </w:r>
          </w:p>
        </w:tc>
      </w:tr>
      <w:tr>
        <w:trPr>
          <w:cantSplit/>
          <w:tblHeader w:val="false"/>
        </w:trPr>
        <w:tc>
          <w:tcPr>
            <w:tcMar>
              <w:top w:type="dxa" w:w="100"/>
              <w:left w:type="dxa" w:w="100"/>
              <w:bottom w:type="dxa" w:w="100"/>
              <w:right w:type="dxa" w:w="100"/>
            </w:tcMar>
          </w:tcPr>
          <w:p>
            <w:pPr>
              <w:spacing w:after="60"/>
            </w:pPr>
            <w:r>
              <w:rPr>
                <w:b w:val="false"/>
                <w:bCs w:val="false"/>
              </w:rPr>
              <w:t xml:space="preserve">Exact prices</w:t>
            </w:r>
          </w:p>
        </w:tc>
        <w:tc>
          <w:tcPr>
            <w:tcMar>
              <w:top w:type="dxa" w:w="100"/>
              <w:left w:type="dxa" w:w="100"/>
              <w:bottom w:type="dxa" w:w="100"/>
              <w:right w:type="dxa" w:w="100"/>
            </w:tcMar>
          </w:tcPr>
          <w:p>
            <w:pPr>
              <w:spacing w:after="60"/>
            </w:pPr>
            <w:r>
              <w:rPr>
                <w:b w:val="false"/>
                <w:bCs w:val="false"/>
              </w:rPr>
              <w:t xml:space="preserve">Unknown — currency, volume and billing term not verified</w:t>
            </w:r>
          </w:p>
        </w:tc>
        <w:tc>
          <w:tcPr>
            <w:tcMar>
              <w:top w:type="dxa" w:w="100"/>
              <w:left w:type="dxa" w:w="100"/>
              <w:bottom w:type="dxa" w:w="100"/>
              <w:right w:type="dxa" w:w="100"/>
            </w:tcMar>
          </w:tcPr>
          <w:p>
            <w:pPr>
              <w:spacing w:after="60"/>
            </w:pPr>
            <w:r>
              <w:rPr>
                <w:b w:val="false"/>
                <w:bCs w:val="false"/>
              </w:rPr>
              <w:t xml:space="preserve">Unknown — currency, volume and billing term not verified</w:t>
            </w:r>
          </w:p>
        </w:tc>
        <w:tc>
          <w:tcPr>
            <w:tcMar>
              <w:top w:type="dxa" w:w="100"/>
              <w:left w:type="dxa" w:w="100"/>
              <w:bottom w:type="dxa" w:w="100"/>
              <w:right w:type="dxa" w:w="100"/>
            </w:tcMar>
          </w:tcPr>
          <w:p>
            <w:pPr>
              <w:spacing w:after="60"/>
            </w:pPr>
            <w:r>
              <w:rPr>
                <w:b w:val="false"/>
                <w:bCs w:val="false"/>
              </w:rPr>
              <w:t xml:space="preserve">Unknown — currency, volume and billing term not verified</w:t>
            </w:r>
          </w:p>
        </w:tc>
        <w:tc>
          <w:tcPr>
            <w:tcMar>
              <w:top w:type="dxa" w:w="100"/>
              <w:left w:type="dxa" w:w="100"/>
              <w:bottom w:type="dxa" w:w="100"/>
              <w:right w:type="dxa" w:w="100"/>
            </w:tcMar>
          </w:tcPr>
          <w:p>
            <w:pPr>
              <w:spacing w:after="60"/>
            </w:pPr>
            <w:r>
              <w:rPr>
                <w:b w:val="false"/>
                <w:bCs w:val="false"/>
              </w:rPr>
              <w:t xml:space="preserve">S1, S2, S3</w:t>
            </w:r>
          </w:p>
        </w:tc>
      </w:tr>
    </w:tbl>
    <w:p/>
    <w:p>
      <w:pPr>
        <w:pStyle w:val="Heading2"/>
        <w:keepNext/>
      </w:pPr>
      <w:r>
        <w:t xml:space="preserve">Sources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gridCol w:w="100"/>
        <w:gridCol w:w="100"/>
        <w:gridCol w:w="100"/>
      </w:tblGrid>
      <w:tr>
        <w:trPr>
          <w:cantSplit/>
          <w:tblHeader/>
        </w:trPr>
        <w:tc>
          <w:tcPr>
            <w:tcMar>
              <w:top w:type="dxa" w:w="100"/>
              <w:left w:type="dxa" w:w="100"/>
              <w:bottom w:type="dxa" w:w="100"/>
              <w:right w:type="dxa" w:w="100"/>
            </w:tcMar>
          </w:tcPr>
          <w:p>
            <w:pPr>
              <w:spacing w:after="60"/>
            </w:pPr>
            <w:r>
              <w:rPr>
                <w:b/>
                <w:bCs/>
              </w:rPr>
              <w:t xml:space="preserve">Key</w:t>
            </w:r>
          </w:p>
        </w:tc>
        <w:tc>
          <w:tcPr>
            <w:tcMar>
              <w:top w:type="dxa" w:w="100"/>
              <w:left w:type="dxa" w:w="100"/>
              <w:bottom w:type="dxa" w:w="100"/>
              <w:right w:type="dxa" w:w="100"/>
            </w:tcMar>
          </w:tcPr>
          <w:p>
            <w:pPr>
              <w:spacing w:after="60"/>
            </w:pPr>
            <w:r>
              <w:rPr>
                <w:b/>
                <w:bCs/>
              </w:rPr>
              <w:t xml:space="preserve">Source</w:t>
            </w:r>
          </w:p>
        </w:tc>
        <w:tc>
          <w:tcPr>
            <w:tcMar>
              <w:top w:type="dxa" w:w="100"/>
              <w:left w:type="dxa" w:w="100"/>
              <w:bottom w:type="dxa" w:w="100"/>
              <w:right w:type="dxa" w:w="100"/>
            </w:tcMar>
          </w:tcPr>
          <w:p>
            <w:pPr>
              <w:spacing w:after="60"/>
            </w:pPr>
            <w:r>
              <w:rPr>
                <w:b/>
                <w:bCs/>
              </w:rPr>
              <w:t xml:space="preserve">URL</w:t>
            </w:r>
          </w:p>
        </w:tc>
        <w:tc>
          <w:tcPr>
            <w:tcMar>
              <w:top w:type="dxa" w:w="100"/>
              <w:left w:type="dxa" w:w="100"/>
              <w:bottom w:type="dxa" w:w="100"/>
              <w:right w:type="dxa" w:w="100"/>
            </w:tcMar>
          </w:tcPr>
          <w:p>
            <w:pPr>
              <w:spacing w:after="60"/>
            </w:pPr>
            <w:r>
              <w:rPr>
                <w:b/>
                <w:bCs/>
              </w:rPr>
              <w:t xml:space="preserve">Access date</w:t>
            </w:r>
          </w:p>
        </w:tc>
        <w:tc>
          <w:tcPr>
            <w:tcMar>
              <w:top w:type="dxa" w:w="100"/>
              <w:left w:type="dxa" w:w="100"/>
              <w:bottom w:type="dxa" w:w="100"/>
              <w:right w:type="dxa" w:w="100"/>
            </w:tcMar>
          </w:tcPr>
          <w:p>
            <w:pPr>
              <w:spacing w:after="60"/>
            </w:pPr>
            <w:r>
              <w:rPr>
                <w:b/>
                <w:bCs/>
              </w:rPr>
              <w:t xml:space="preserve">Evidence status</w:t>
            </w:r>
          </w:p>
        </w:tc>
      </w:tr>
      <w:tr>
        <w:trPr>
          <w:cantSplit/>
          <w:tblHeader w:val="false"/>
        </w:trPr>
        <w:tc>
          <w:tcPr>
            <w:tcMar>
              <w:top w:type="dxa" w:w="100"/>
              <w:left w:type="dxa" w:w="100"/>
              <w:bottom w:type="dxa" w:w="100"/>
              <w:right w:type="dxa" w:w="100"/>
            </w:tcMar>
          </w:tcPr>
          <w:p>
            <w:pPr>
              <w:spacing w:after="60"/>
            </w:pPr>
            <w:r>
              <w:rPr>
                <w:b w:val="false"/>
                <w:bCs w:val="false"/>
              </w:rPr>
              <w:t xml:space="preserve">S1</w:t>
            </w:r>
          </w:p>
        </w:tc>
        <w:tc>
          <w:tcPr>
            <w:tcMar>
              <w:top w:type="dxa" w:w="100"/>
              <w:left w:type="dxa" w:w="100"/>
              <w:bottom w:type="dxa" w:w="100"/>
              <w:right w:type="dxa" w:w="100"/>
            </w:tcMar>
          </w:tcPr>
          <w:p>
            <w:pPr>
              <w:spacing w:after="60"/>
            </w:pPr>
            <w:r>
              <w:rPr>
                <w:b w:val="false"/>
                <w:bCs w:val="false"/>
              </w:rPr>
              <w:t xml:space="preserve">Brevo pricing</w:t>
            </w:r>
          </w:p>
        </w:tc>
        <w:tc>
          <w:tcPr>
            <w:tcMar>
              <w:top w:type="dxa" w:w="100"/>
              <w:left w:type="dxa" w:w="100"/>
              <w:bottom w:type="dxa" w:w="100"/>
              <w:right w:type="dxa" w:w="100"/>
            </w:tcMar>
          </w:tcPr>
          <w:p>
            <w:pPr>
              <w:spacing w:after="60"/>
            </w:pPr>
            <w:r>
              <w:rPr>
                <w:b w:val="false"/>
                <w:bCs w:val="false"/>
              </w:rPr>
              <w:t xml:space="preserve">https://www.brevo.com/pricing/</w:t>
            </w:r>
          </w:p>
        </w:tc>
        <w:tc>
          <w:tcPr>
            <w:tcMar>
              <w:top w:type="dxa" w:w="100"/>
              <w:left w:type="dxa" w:w="100"/>
              <w:bottom w:type="dxa" w:w="100"/>
              <w:right w:type="dxa" w:w="100"/>
            </w:tcMar>
          </w:tcPr>
          <w:p>
            <w:pPr>
              <w:spacing w:after="60"/>
            </w:pPr>
            <w:r>
              <w:rPr>
                <w:b w:val="false"/>
                <w:bCs w:val="false"/>
              </w:rPr>
              <w:t xml:space="preserve">2026-09-10</w:t>
            </w:r>
          </w:p>
        </w:tc>
        <w:tc>
          <w:tcPr>
            <w:tcMar>
              <w:top w:type="dxa" w:w="100"/>
              <w:left w:type="dxa" w:w="100"/>
              <w:bottom w:type="dxa" w:w="100"/>
              <w:right w:type="dxa" w:w="100"/>
            </w:tcMar>
          </w:tcPr>
          <w:p>
            <w:pPr>
              <w:spacing w:after="60"/>
            </w:pPr>
            <w:r>
              <w:rPr>
                <w:b w:val="false"/>
                <w:bCs w:val="false"/>
              </w:rPr>
              <w:t xml:space="preserve">Official public information</w:t>
            </w:r>
          </w:p>
        </w:tc>
      </w:tr>
      <w:tr>
        <w:trPr>
          <w:cantSplit/>
          <w:tblHeader w:val="false"/>
        </w:trPr>
        <w:tc>
          <w:tcPr>
            <w:tcMar>
              <w:top w:type="dxa" w:w="100"/>
              <w:left w:type="dxa" w:w="100"/>
              <w:bottom w:type="dxa" w:w="100"/>
              <w:right w:type="dxa" w:w="100"/>
            </w:tcMar>
          </w:tcPr>
          <w:p>
            <w:pPr>
              <w:spacing w:after="60"/>
            </w:pPr>
            <w:r>
              <w:rPr>
                <w:b w:val="false"/>
                <w:bCs w:val="false"/>
              </w:rPr>
              <w:t xml:space="preserve">S2</w:t>
            </w:r>
          </w:p>
        </w:tc>
        <w:tc>
          <w:tcPr>
            <w:tcMar>
              <w:top w:type="dxa" w:w="100"/>
              <w:left w:type="dxa" w:w="100"/>
              <w:bottom w:type="dxa" w:w="100"/>
              <w:right w:type="dxa" w:w="100"/>
            </w:tcMar>
          </w:tcPr>
          <w:p>
            <w:pPr>
              <w:spacing w:after="60"/>
            </w:pPr>
            <w:r>
              <w:rPr>
                <w:b w:val="false"/>
                <w:bCs w:val="false"/>
              </w:rPr>
              <w:t xml:space="preserve">Mailchimp marketing pricing</w:t>
            </w:r>
          </w:p>
        </w:tc>
        <w:tc>
          <w:tcPr>
            <w:tcMar>
              <w:top w:type="dxa" w:w="100"/>
              <w:left w:type="dxa" w:w="100"/>
              <w:bottom w:type="dxa" w:w="100"/>
              <w:right w:type="dxa" w:w="100"/>
            </w:tcMar>
          </w:tcPr>
          <w:p>
            <w:pPr>
              <w:spacing w:after="60"/>
            </w:pPr>
            <w:r>
              <w:rPr>
                <w:b w:val="false"/>
                <w:bCs w:val="false"/>
              </w:rPr>
              <w:t xml:space="preserve">https://mailchimp.com/pricing/marketing/</w:t>
            </w:r>
          </w:p>
        </w:tc>
        <w:tc>
          <w:tcPr>
            <w:tcMar>
              <w:top w:type="dxa" w:w="100"/>
              <w:left w:type="dxa" w:w="100"/>
              <w:bottom w:type="dxa" w:w="100"/>
              <w:right w:type="dxa" w:w="100"/>
            </w:tcMar>
          </w:tcPr>
          <w:p>
            <w:pPr>
              <w:spacing w:after="60"/>
            </w:pPr>
            <w:r>
              <w:rPr>
                <w:b w:val="false"/>
                <w:bCs w:val="false"/>
              </w:rPr>
              <w:t xml:space="preserve">2026-09-10</w:t>
            </w:r>
          </w:p>
        </w:tc>
        <w:tc>
          <w:tcPr>
            <w:tcMar>
              <w:top w:type="dxa" w:w="100"/>
              <w:left w:type="dxa" w:w="100"/>
              <w:bottom w:type="dxa" w:w="100"/>
              <w:right w:type="dxa" w:w="100"/>
            </w:tcMar>
          </w:tcPr>
          <w:p>
            <w:pPr>
              <w:spacing w:after="60"/>
            </w:pPr>
            <w:r>
              <w:rPr>
                <w:b w:val="false"/>
                <w:bCs w:val="false"/>
              </w:rPr>
              <w:t xml:space="preserve">Official public information</w:t>
            </w:r>
          </w:p>
        </w:tc>
      </w:tr>
      <w:tr>
        <w:trPr>
          <w:cantSplit/>
          <w:tblHeader w:val="false"/>
        </w:trPr>
        <w:tc>
          <w:tcPr>
            <w:tcMar>
              <w:top w:type="dxa" w:w="100"/>
              <w:left w:type="dxa" w:w="100"/>
              <w:bottom w:type="dxa" w:w="100"/>
              <w:right w:type="dxa" w:w="100"/>
            </w:tcMar>
          </w:tcPr>
          <w:p>
            <w:pPr>
              <w:spacing w:after="60"/>
            </w:pPr>
            <w:r>
              <w:rPr>
                <w:b w:val="false"/>
                <w:bCs w:val="false"/>
              </w:rPr>
              <w:t xml:space="preserve">S3</w:t>
            </w:r>
          </w:p>
        </w:tc>
        <w:tc>
          <w:tcPr>
            <w:tcMar>
              <w:top w:type="dxa" w:w="100"/>
              <w:left w:type="dxa" w:w="100"/>
              <w:bottom w:type="dxa" w:w="100"/>
              <w:right w:type="dxa" w:w="100"/>
            </w:tcMar>
          </w:tcPr>
          <w:p>
            <w:pPr>
              <w:spacing w:after="60"/>
            </w:pPr>
            <w:r>
              <w:rPr>
                <w:b w:val="false"/>
                <w:bCs w:val="false"/>
              </w:rPr>
              <w:t xml:space="preserve">Kit pricing</w:t>
            </w:r>
          </w:p>
        </w:tc>
        <w:tc>
          <w:tcPr>
            <w:tcMar>
              <w:top w:type="dxa" w:w="100"/>
              <w:left w:type="dxa" w:w="100"/>
              <w:bottom w:type="dxa" w:w="100"/>
              <w:right w:type="dxa" w:w="100"/>
            </w:tcMar>
          </w:tcPr>
          <w:p>
            <w:pPr>
              <w:spacing w:after="60"/>
            </w:pPr>
            <w:r>
              <w:rPr>
                <w:b w:val="false"/>
                <w:bCs w:val="false"/>
              </w:rPr>
              <w:t xml:space="preserve">https://kit.com/pricing</w:t>
            </w:r>
          </w:p>
        </w:tc>
        <w:tc>
          <w:tcPr>
            <w:tcMar>
              <w:top w:type="dxa" w:w="100"/>
              <w:left w:type="dxa" w:w="100"/>
              <w:bottom w:type="dxa" w:w="100"/>
              <w:right w:type="dxa" w:w="100"/>
            </w:tcMar>
          </w:tcPr>
          <w:p>
            <w:pPr>
              <w:spacing w:after="60"/>
            </w:pPr>
            <w:r>
              <w:rPr>
                <w:b w:val="false"/>
                <w:bCs w:val="false"/>
              </w:rPr>
              <w:t xml:space="preserve">2026-09-10</w:t>
            </w:r>
          </w:p>
        </w:tc>
        <w:tc>
          <w:tcPr>
            <w:tcMar>
              <w:top w:type="dxa" w:w="100"/>
              <w:left w:type="dxa" w:w="100"/>
              <w:bottom w:type="dxa" w:w="100"/>
              <w:right w:type="dxa" w:w="100"/>
            </w:tcMar>
          </w:tcPr>
          <w:p>
            <w:pPr>
              <w:spacing w:after="60"/>
            </w:pPr>
            <w:r>
              <w:rPr>
                <w:b w:val="false"/>
                <w:bCs w:val="false"/>
              </w:rPr>
              <w:t xml:space="preserve">Official public information</w:t>
            </w:r>
          </w:p>
        </w:tc>
      </w:tr>
      <w:tr>
        <w:trPr>
          <w:cantSplit/>
          <w:tblHeader w:val="false"/>
        </w:trPr>
        <w:tc>
          <w:tcPr>
            <w:tcMar>
              <w:top w:type="dxa" w:w="100"/>
              <w:left w:type="dxa" w:w="100"/>
              <w:bottom w:type="dxa" w:w="100"/>
              <w:right w:type="dxa" w:w="100"/>
            </w:tcMar>
          </w:tcPr>
          <w:p>
            <w:pPr>
              <w:spacing w:after="60"/>
            </w:pPr>
            <w:r>
              <w:rPr>
                <w:b w:val="false"/>
                <w:bCs w:val="false"/>
              </w:rPr>
              <w:t xml:space="preserve">S4</w:t>
            </w:r>
          </w:p>
        </w:tc>
        <w:tc>
          <w:tcPr>
            <w:tcMar>
              <w:top w:type="dxa" w:w="100"/>
              <w:left w:type="dxa" w:w="100"/>
              <w:bottom w:type="dxa" w:w="100"/>
              <w:right w:type="dxa" w:w="100"/>
            </w:tcMar>
          </w:tcPr>
          <w:p>
            <w:pPr>
              <w:spacing w:after="60"/>
            </w:pPr>
            <w:r>
              <w:rPr>
                <w:b w:val="false"/>
                <w:bCs w:val="false"/>
              </w:rPr>
              <w:t xml:space="preserve">Kit automations</w:t>
            </w:r>
          </w:p>
        </w:tc>
        <w:tc>
          <w:tcPr>
            <w:tcMar>
              <w:top w:type="dxa" w:w="100"/>
              <w:left w:type="dxa" w:w="100"/>
              <w:bottom w:type="dxa" w:w="100"/>
              <w:right w:type="dxa" w:w="100"/>
            </w:tcMar>
          </w:tcPr>
          <w:p>
            <w:pPr>
              <w:spacing w:after="60"/>
            </w:pPr>
            <w:r>
              <w:rPr>
                <w:b w:val="false"/>
                <w:bCs w:val="false"/>
              </w:rPr>
              <w:t xml:space="preserve">https://kit.com/features/automations</w:t>
            </w:r>
          </w:p>
        </w:tc>
        <w:tc>
          <w:tcPr>
            <w:tcMar>
              <w:top w:type="dxa" w:w="100"/>
              <w:left w:type="dxa" w:w="100"/>
              <w:bottom w:type="dxa" w:w="100"/>
              <w:right w:type="dxa" w:w="100"/>
            </w:tcMar>
          </w:tcPr>
          <w:p>
            <w:pPr>
              <w:spacing w:after="60"/>
            </w:pPr>
            <w:r>
              <w:rPr>
                <w:b w:val="false"/>
                <w:bCs w:val="false"/>
              </w:rPr>
              <w:t xml:space="preserve">2026-09-10</w:t>
            </w:r>
          </w:p>
        </w:tc>
        <w:tc>
          <w:tcPr>
            <w:tcMar>
              <w:top w:type="dxa" w:w="100"/>
              <w:left w:type="dxa" w:w="100"/>
              <w:bottom w:type="dxa" w:w="100"/>
              <w:right w:type="dxa" w:w="100"/>
            </w:tcMar>
          </w:tcPr>
          <w:p>
            <w:pPr>
              <w:spacing w:after="60"/>
            </w:pPr>
            <w:r>
              <w:rPr>
                <w:b w:val="false"/>
                <w:bCs w:val="false"/>
              </w:rPr>
              <w:t xml:space="preserve">Official self-description</w:t>
            </w:r>
          </w:p>
        </w:tc>
      </w:tr>
      <w:tr>
        <w:trPr>
          <w:cantSplit/>
          <w:tblHeader w:val="false"/>
        </w:trPr>
        <w:tc>
          <w:tcPr>
            <w:tcMar>
              <w:top w:type="dxa" w:w="100"/>
              <w:left w:type="dxa" w:w="100"/>
              <w:bottom w:type="dxa" w:w="100"/>
              <w:right w:type="dxa" w:w="100"/>
            </w:tcMar>
          </w:tcPr>
          <w:p>
            <w:pPr>
              <w:spacing w:after="60"/>
            </w:pPr>
            <w:r>
              <w:rPr>
                <w:b w:val="false"/>
                <w:bCs w:val="false"/>
              </w:rPr>
              <w:t xml:space="preserve">S5</w:t>
            </w:r>
          </w:p>
        </w:tc>
        <w:tc>
          <w:tcPr>
            <w:tcMar>
              <w:top w:type="dxa" w:w="100"/>
              <w:left w:type="dxa" w:w="100"/>
              <w:bottom w:type="dxa" w:w="100"/>
              <w:right w:type="dxa" w:w="100"/>
            </w:tcMar>
          </w:tcPr>
          <w:p>
            <w:pPr>
              <w:spacing w:after="60"/>
            </w:pPr>
            <w:r>
              <w:rPr>
                <w:b w:val="false"/>
                <w:bCs w:val="false"/>
              </w:rPr>
              <w:t xml:space="preserve">Mailchimp marketing automation</w:t>
            </w:r>
          </w:p>
        </w:tc>
        <w:tc>
          <w:tcPr>
            <w:tcMar>
              <w:top w:type="dxa" w:w="100"/>
              <w:left w:type="dxa" w:w="100"/>
              <w:bottom w:type="dxa" w:w="100"/>
              <w:right w:type="dxa" w:w="100"/>
            </w:tcMar>
          </w:tcPr>
          <w:p>
            <w:pPr>
              <w:spacing w:after="60"/>
            </w:pPr>
            <w:r>
              <w:rPr>
                <w:b w:val="false"/>
                <w:bCs w:val="false"/>
              </w:rPr>
              <w:t xml:space="preserve">https://mailchimp.com/features/marketing-automation/</w:t>
            </w:r>
          </w:p>
        </w:tc>
        <w:tc>
          <w:tcPr>
            <w:tcMar>
              <w:top w:type="dxa" w:w="100"/>
              <w:left w:type="dxa" w:w="100"/>
              <w:bottom w:type="dxa" w:w="100"/>
              <w:right w:type="dxa" w:w="100"/>
            </w:tcMar>
          </w:tcPr>
          <w:p>
            <w:pPr>
              <w:spacing w:after="60"/>
            </w:pPr>
            <w:r>
              <w:rPr>
                <w:b w:val="false"/>
                <w:bCs w:val="false"/>
              </w:rPr>
              <w:t xml:space="preserve">2026-09-10</w:t>
            </w:r>
          </w:p>
        </w:tc>
        <w:tc>
          <w:tcPr>
            <w:tcMar>
              <w:top w:type="dxa" w:w="100"/>
              <w:left w:type="dxa" w:w="100"/>
              <w:bottom w:type="dxa" w:w="100"/>
              <w:right w:type="dxa" w:w="100"/>
            </w:tcMar>
          </w:tcPr>
          <w:p>
            <w:pPr>
              <w:spacing w:after="60"/>
            </w:pPr>
            <w:r>
              <w:rPr>
                <w:b w:val="false"/>
                <w:bCs w:val="false"/>
              </w:rPr>
              <w:t xml:space="preserve">Official self-description</w:t>
            </w:r>
          </w:p>
        </w:tc>
      </w:tr>
      <w:tr>
        <w:trPr>
          <w:cantSplit/>
          <w:tblHeader w:val="false"/>
        </w:trPr>
        <w:tc>
          <w:tcPr>
            <w:tcMar>
              <w:top w:type="dxa" w:w="100"/>
              <w:left w:type="dxa" w:w="100"/>
              <w:bottom w:type="dxa" w:w="100"/>
              <w:right w:type="dxa" w:w="100"/>
            </w:tcMar>
          </w:tcPr>
          <w:p>
            <w:pPr>
              <w:spacing w:after="60"/>
            </w:pPr>
            <w:r>
              <w:rPr>
                <w:b w:val="false"/>
                <w:bCs w:val="false"/>
              </w:rPr>
              <w:t xml:space="preserve">S6</w:t>
            </w:r>
          </w:p>
        </w:tc>
        <w:tc>
          <w:tcPr>
            <w:tcMar>
              <w:top w:type="dxa" w:w="100"/>
              <w:left w:type="dxa" w:w="100"/>
              <w:bottom w:type="dxa" w:w="100"/>
              <w:right w:type="dxa" w:w="100"/>
            </w:tcMar>
          </w:tcPr>
          <w:p>
            <w:pPr>
              <w:spacing w:after="60"/>
            </w:pPr>
            <w:r>
              <w:rPr>
                <w:b w:val="false"/>
                <w:bCs w:val="false"/>
              </w:rPr>
              <w:t xml:space="preserve">Brevo integrations</w:t>
            </w:r>
          </w:p>
        </w:tc>
        <w:tc>
          <w:tcPr>
            <w:tcMar>
              <w:top w:type="dxa" w:w="100"/>
              <w:left w:type="dxa" w:w="100"/>
              <w:bottom w:type="dxa" w:w="100"/>
              <w:right w:type="dxa" w:w="100"/>
            </w:tcMar>
          </w:tcPr>
          <w:p>
            <w:pPr>
              <w:spacing w:after="60"/>
            </w:pPr>
            <w:r>
              <w:rPr>
                <w:b w:val="false"/>
                <w:bCs w:val="false"/>
              </w:rPr>
              <w:t xml:space="preserve">https://www.brevo.com/integrations/</w:t>
            </w:r>
          </w:p>
        </w:tc>
        <w:tc>
          <w:tcPr>
            <w:tcMar>
              <w:top w:type="dxa" w:w="100"/>
              <w:left w:type="dxa" w:w="100"/>
              <w:bottom w:type="dxa" w:w="100"/>
              <w:right w:type="dxa" w:w="100"/>
            </w:tcMar>
          </w:tcPr>
          <w:p>
            <w:pPr>
              <w:spacing w:after="60"/>
            </w:pPr>
            <w:r>
              <w:rPr>
                <w:b w:val="false"/>
                <w:bCs w:val="false"/>
              </w:rPr>
              <w:t xml:space="preserve">2026-09-10</w:t>
            </w:r>
          </w:p>
        </w:tc>
        <w:tc>
          <w:tcPr>
            <w:tcMar>
              <w:top w:type="dxa" w:w="100"/>
              <w:left w:type="dxa" w:w="100"/>
              <w:bottom w:type="dxa" w:w="100"/>
              <w:right w:type="dxa" w:w="100"/>
            </w:tcMar>
          </w:tcPr>
          <w:p>
            <w:pPr>
              <w:spacing w:after="60"/>
            </w:pPr>
            <w:r>
              <w:rPr>
                <w:b w:val="false"/>
                <w:bCs w:val="false"/>
              </w:rPr>
              <w:t xml:space="preserve">Official public information</w:t>
            </w:r>
          </w:p>
        </w:tc>
      </w:tr>
      <w:tr>
        <w:trPr>
          <w:cantSplit/>
          <w:tblHeader w:val="false"/>
        </w:trPr>
        <w:tc>
          <w:tcPr>
            <w:tcMar>
              <w:top w:type="dxa" w:w="100"/>
              <w:left w:type="dxa" w:w="100"/>
              <w:bottom w:type="dxa" w:w="100"/>
              <w:right w:type="dxa" w:w="100"/>
            </w:tcMar>
          </w:tcPr>
          <w:p>
            <w:pPr>
              <w:spacing w:after="60"/>
            </w:pPr>
            <w:r>
              <w:rPr>
                <w:b w:val="false"/>
                <w:bCs w:val="false"/>
              </w:rPr>
              <w:t xml:space="preserve">S7</w:t>
            </w:r>
          </w:p>
        </w:tc>
        <w:tc>
          <w:tcPr>
            <w:tcMar>
              <w:top w:type="dxa" w:w="100"/>
              <w:left w:type="dxa" w:w="100"/>
              <w:bottom w:type="dxa" w:w="100"/>
              <w:right w:type="dxa" w:w="100"/>
            </w:tcMar>
          </w:tcPr>
          <w:p>
            <w:pPr>
              <w:spacing w:after="60"/>
            </w:pPr>
            <w:r>
              <w:rPr>
                <w:b w:val="false"/>
                <w:bCs w:val="false"/>
              </w:rPr>
              <w:t xml:space="preserve">Mailchimp integrations</w:t>
            </w:r>
          </w:p>
        </w:tc>
        <w:tc>
          <w:tcPr>
            <w:tcMar>
              <w:top w:type="dxa" w:w="100"/>
              <w:left w:type="dxa" w:w="100"/>
              <w:bottom w:type="dxa" w:w="100"/>
              <w:right w:type="dxa" w:w="100"/>
            </w:tcMar>
          </w:tcPr>
          <w:p>
            <w:pPr>
              <w:spacing w:after="60"/>
            </w:pPr>
            <w:r>
              <w:rPr>
                <w:b w:val="false"/>
                <w:bCs w:val="false"/>
              </w:rPr>
              <w:t xml:space="preserve">https://mailchimp.com/integrations/</w:t>
            </w:r>
          </w:p>
        </w:tc>
        <w:tc>
          <w:tcPr>
            <w:tcMar>
              <w:top w:type="dxa" w:w="100"/>
              <w:left w:type="dxa" w:w="100"/>
              <w:bottom w:type="dxa" w:w="100"/>
              <w:right w:type="dxa" w:w="100"/>
            </w:tcMar>
          </w:tcPr>
          <w:p>
            <w:pPr>
              <w:spacing w:after="60"/>
            </w:pPr>
            <w:r>
              <w:rPr>
                <w:b w:val="false"/>
                <w:bCs w:val="false"/>
              </w:rPr>
              <w:t xml:space="preserve">2026-09-10</w:t>
            </w:r>
          </w:p>
        </w:tc>
        <w:tc>
          <w:tcPr>
            <w:tcMar>
              <w:top w:type="dxa" w:w="100"/>
              <w:left w:type="dxa" w:w="100"/>
              <w:bottom w:type="dxa" w:w="100"/>
              <w:right w:type="dxa" w:w="100"/>
            </w:tcMar>
          </w:tcPr>
          <w:p>
            <w:pPr>
              <w:spacing w:after="60"/>
            </w:pPr>
            <w:r>
              <w:rPr>
                <w:b w:val="false"/>
                <w:bCs w:val="false"/>
              </w:rPr>
              <w:t xml:space="preserve">Official public information</w:t>
            </w:r>
          </w:p>
        </w:tc>
      </w:tr>
      <w:tr>
        <w:trPr>
          <w:cantSplit/>
          <w:tblHeader w:val="false"/>
        </w:trPr>
        <w:tc>
          <w:tcPr>
            <w:tcMar>
              <w:top w:type="dxa" w:w="100"/>
              <w:left w:type="dxa" w:w="100"/>
              <w:bottom w:type="dxa" w:w="100"/>
              <w:right w:type="dxa" w:w="100"/>
            </w:tcMar>
          </w:tcPr>
          <w:p>
            <w:pPr>
              <w:spacing w:after="60"/>
            </w:pPr>
            <w:r>
              <w:rPr>
                <w:b w:val="false"/>
                <w:bCs w:val="false"/>
              </w:rPr>
              <w:t xml:space="preserve">S8</w:t>
            </w:r>
          </w:p>
        </w:tc>
        <w:tc>
          <w:tcPr>
            <w:tcMar>
              <w:top w:type="dxa" w:w="100"/>
              <w:left w:type="dxa" w:w="100"/>
              <w:bottom w:type="dxa" w:w="100"/>
              <w:right w:type="dxa" w:w="100"/>
            </w:tcMar>
          </w:tcPr>
          <w:p>
            <w:pPr>
              <w:spacing w:after="60"/>
            </w:pPr>
            <w:r>
              <w:rPr>
                <w:b w:val="false"/>
                <w:bCs w:val="false"/>
              </w:rPr>
              <w:t xml:space="preserve">Kit app store</w:t>
            </w:r>
          </w:p>
        </w:tc>
        <w:tc>
          <w:tcPr>
            <w:tcMar>
              <w:top w:type="dxa" w:w="100"/>
              <w:left w:type="dxa" w:w="100"/>
              <w:bottom w:type="dxa" w:w="100"/>
              <w:right w:type="dxa" w:w="100"/>
            </w:tcMar>
          </w:tcPr>
          <w:p>
            <w:pPr>
              <w:spacing w:after="60"/>
            </w:pPr>
            <w:r>
              <w:rPr>
                <w:b w:val="false"/>
                <w:bCs w:val="false"/>
              </w:rPr>
              <w:t xml:space="preserve">https://kit.com/apps</w:t>
            </w:r>
          </w:p>
        </w:tc>
        <w:tc>
          <w:tcPr>
            <w:tcMar>
              <w:top w:type="dxa" w:w="100"/>
              <w:left w:type="dxa" w:w="100"/>
              <w:bottom w:type="dxa" w:w="100"/>
              <w:right w:type="dxa" w:w="100"/>
            </w:tcMar>
          </w:tcPr>
          <w:p>
            <w:pPr>
              <w:spacing w:after="60"/>
            </w:pPr>
            <w:r>
              <w:rPr>
                <w:b w:val="false"/>
                <w:bCs w:val="false"/>
              </w:rPr>
              <w:t xml:space="preserve">2026-09-10</w:t>
            </w:r>
          </w:p>
        </w:tc>
        <w:tc>
          <w:tcPr>
            <w:tcMar>
              <w:top w:type="dxa" w:w="100"/>
              <w:left w:type="dxa" w:w="100"/>
              <w:bottom w:type="dxa" w:w="100"/>
              <w:right w:type="dxa" w:w="100"/>
            </w:tcMar>
          </w:tcPr>
          <w:p>
            <w:pPr>
              <w:spacing w:after="60"/>
            </w:pPr>
            <w:r>
              <w:rPr>
                <w:b w:val="false"/>
                <w:bCs w:val="false"/>
              </w:rPr>
              <w:t xml:space="preserve">Official public information</w:t>
            </w:r>
          </w:p>
        </w:tc>
      </w:tr>
      <w:tr>
        <w:trPr>
          <w:cantSplit/>
          <w:tblHeader w:val="false"/>
        </w:trPr>
        <w:tc>
          <w:tcPr>
            <w:tcMar>
              <w:top w:type="dxa" w:w="100"/>
              <w:left w:type="dxa" w:w="100"/>
              <w:bottom w:type="dxa" w:w="100"/>
              <w:right w:type="dxa" w:w="100"/>
            </w:tcMar>
          </w:tcPr>
          <w:p>
            <w:pPr>
              <w:spacing w:after="60"/>
            </w:pPr>
            <w:r>
              <w:rPr>
                <w:b w:val="false"/>
                <w:bCs w:val="false"/>
              </w:rPr>
              <w:t xml:space="preserve">—</w:t>
            </w:r>
          </w:p>
        </w:tc>
        <w:tc>
          <w:tcPr>
            <w:tcMar>
              <w:top w:type="dxa" w:w="100"/>
              <w:left w:type="dxa" w:w="100"/>
              <w:bottom w:type="dxa" w:w="100"/>
              <w:right w:type="dxa" w:w="100"/>
            </w:tcMar>
          </w:tcPr>
          <w:p>
            <w:pPr>
              <w:spacing w:after="60"/>
            </w:pPr>
            <w:r>
              <w:rPr>
                <w:b w:val="false"/>
                <w:bCs w:val="false"/>
              </w:rPr>
              <w:t xml:space="preserve">Brevo automation help page</w:t>
            </w:r>
          </w:p>
        </w:tc>
        <w:tc>
          <w:tcPr>
            <w:tcMar>
              <w:top w:type="dxa" w:w="100"/>
              <w:left w:type="dxa" w:w="100"/>
              <w:bottom w:type="dxa" w:w="100"/>
              <w:right w:type="dxa" w:w="100"/>
            </w:tcMar>
          </w:tcPr>
          <w:p>
            <w:pPr>
              <w:spacing w:after="60"/>
            </w:pPr>
            <w:r>
              <w:rPr>
                <w:b w:val="false"/>
                <w:bCs w:val="false"/>
              </w:rPr>
              <w:t xml:space="preserve">help.brevo.com (workflow article)</w:t>
            </w:r>
          </w:p>
        </w:tc>
        <w:tc>
          <w:tcPr>
            <w:tcMar>
              <w:top w:type="dxa" w:w="100"/>
              <w:left w:type="dxa" w:w="100"/>
              <w:bottom w:type="dxa" w:w="100"/>
              <w:right w:type="dxa" w:w="100"/>
            </w:tcMar>
          </w:tcPr>
          <w:p>
            <w:pPr>
              <w:spacing w:after="60"/>
            </w:pPr>
            <w:r>
              <w:rPr>
                <w:b w:val="false"/>
                <w:bCs w:val="false"/>
              </w:rPr>
              <w:t xml:space="preserve">2026-09-10</w:t>
            </w:r>
          </w:p>
        </w:tc>
        <w:tc>
          <w:tcPr>
            <w:tcMar>
              <w:top w:type="dxa" w:w="100"/>
              <w:left w:type="dxa" w:w="100"/>
              <w:bottom w:type="dxa" w:w="100"/>
              <w:right w:type="dxa" w:w="100"/>
            </w:tcMar>
          </w:tcPr>
          <w:p>
            <w:pPr>
              <w:spacing w:after="60"/>
            </w:pPr>
            <w:r>
              <w:rPr>
                <w:b w:val="false"/>
                <w:bCs w:val="false"/>
              </w:rPr>
              <w:t xml:space="preserve">Unknown — page could not be retrieved</w:t>
            </w:r>
          </w:p>
        </w:tc>
      </w:tr>
      <w:tr>
        <w:trPr>
          <w:cantSplit/>
          <w:tblHeader w:val="false"/>
        </w:trPr>
        <w:tc>
          <w:tcPr>
            <w:tcMar>
              <w:top w:type="dxa" w:w="100"/>
              <w:left w:type="dxa" w:w="100"/>
              <w:bottom w:type="dxa" w:w="100"/>
              <w:right w:type="dxa" w:w="100"/>
            </w:tcMar>
          </w:tcPr>
          <w:p>
            <w:pPr>
              <w:spacing w:after="60"/>
            </w:pPr>
            <w:r>
              <w:rPr>
                <w:b w:val="false"/>
                <w:bCs w:val="false"/>
              </w:rPr>
              <w:t xml:space="preserve">—</w:t>
            </w:r>
          </w:p>
        </w:tc>
        <w:tc>
          <w:tcPr>
            <w:tcMar>
              <w:top w:type="dxa" w:w="100"/>
              <w:left w:type="dxa" w:w="100"/>
              <w:bottom w:type="dxa" w:w="100"/>
              <w:right w:type="dxa" w:w="100"/>
            </w:tcMar>
          </w:tcPr>
          <w:p>
            <w:pPr>
              <w:spacing w:after="60"/>
            </w:pPr>
            <w:r>
              <w:rPr>
                <w:b w:val="false"/>
                <w:bCs w:val="false"/>
              </w:rPr>
              <w:t xml:space="preserve">Mailchimp automations help page</w:t>
            </w:r>
          </w:p>
        </w:tc>
        <w:tc>
          <w:tcPr>
            <w:tcMar>
              <w:top w:type="dxa" w:w="100"/>
              <w:left w:type="dxa" w:w="100"/>
              <w:bottom w:type="dxa" w:w="100"/>
              <w:right w:type="dxa" w:w="100"/>
            </w:tcMar>
          </w:tcPr>
          <w:p>
            <w:pPr>
              <w:spacing w:after="60"/>
            </w:pPr>
            <w:r>
              <w:rPr>
                <w:b w:val="false"/>
                <w:bCs w:val="false"/>
              </w:rPr>
              <w:t xml:space="preserve">mailchimp.com/help/getting-started-automations/</w:t>
            </w:r>
          </w:p>
        </w:tc>
        <w:tc>
          <w:tcPr>
            <w:tcMar>
              <w:top w:type="dxa" w:w="100"/>
              <w:left w:type="dxa" w:w="100"/>
              <w:bottom w:type="dxa" w:w="100"/>
              <w:right w:type="dxa" w:w="100"/>
            </w:tcMar>
          </w:tcPr>
          <w:p>
            <w:pPr>
              <w:spacing w:after="60"/>
            </w:pPr>
            <w:r>
              <w:rPr>
                <w:b w:val="false"/>
                <w:bCs w:val="false"/>
              </w:rPr>
              <w:t xml:space="preserve">2026-09-10</w:t>
            </w:r>
          </w:p>
        </w:tc>
        <w:tc>
          <w:tcPr>
            <w:tcMar>
              <w:top w:type="dxa" w:w="100"/>
              <w:left w:type="dxa" w:w="100"/>
              <w:bottom w:type="dxa" w:w="100"/>
              <w:right w:type="dxa" w:w="100"/>
            </w:tcMar>
          </w:tcPr>
          <w:p>
            <w:pPr>
              <w:spacing w:after="60"/>
            </w:pPr>
            <w:r>
              <w:rPr>
                <w:b w:val="false"/>
                <w:bCs w:val="false"/>
              </w:rPr>
              <w:t xml:space="preserve">Unknown — page could not be retrieved</w:t>
            </w:r>
          </w:p>
        </w:tc>
      </w:tr>
      <w:tr>
        <w:trPr>
          <w:cantSplit/>
          <w:tblHeader w:val="false"/>
        </w:trPr>
        <w:tc>
          <w:tcPr>
            <w:tcMar>
              <w:top w:type="dxa" w:w="100"/>
              <w:left w:type="dxa" w:w="100"/>
              <w:bottom w:type="dxa" w:w="100"/>
              <w:right w:type="dxa" w:w="100"/>
            </w:tcMar>
          </w:tcPr>
          <w:p>
            <w:pPr>
              <w:spacing w:after="60"/>
            </w:pPr>
            <w:r>
              <w:rPr>
                <w:b w:val="false"/>
                <w:bCs w:val="false"/>
              </w:rPr>
              <w:t xml:space="preserve">—</w:t>
            </w:r>
          </w:p>
        </w:tc>
        <w:tc>
          <w:tcPr>
            <w:tcMar>
              <w:top w:type="dxa" w:w="100"/>
              <w:left w:type="dxa" w:w="100"/>
              <w:bottom w:type="dxa" w:w="100"/>
              <w:right w:type="dxa" w:w="100"/>
            </w:tcMar>
          </w:tcPr>
          <w:p>
            <w:pPr>
              <w:spacing w:after="60"/>
            </w:pPr>
            <w:r>
              <w:rPr>
                <w:b w:val="false"/>
                <w:bCs w:val="false"/>
              </w:rPr>
              <w:t xml:space="preserve">Brevo marketing automation product page</w:t>
            </w:r>
          </w:p>
        </w:tc>
        <w:tc>
          <w:tcPr>
            <w:tcMar>
              <w:top w:type="dxa" w:w="100"/>
              <w:left w:type="dxa" w:w="100"/>
              <w:bottom w:type="dxa" w:w="100"/>
              <w:right w:type="dxa" w:w="100"/>
            </w:tcMar>
          </w:tcPr>
          <w:p>
            <w:pPr>
              <w:spacing w:after="60"/>
            </w:pPr>
            <w:r>
              <w:rPr>
                <w:b w:val="false"/>
                <w:bCs w:val="false"/>
              </w:rPr>
              <w:t xml:space="preserve">brevo.com/products/marketing-automation/</w:t>
            </w:r>
          </w:p>
        </w:tc>
        <w:tc>
          <w:tcPr>
            <w:tcMar>
              <w:top w:type="dxa" w:w="100"/>
              <w:left w:type="dxa" w:w="100"/>
              <w:bottom w:type="dxa" w:w="100"/>
              <w:right w:type="dxa" w:w="100"/>
            </w:tcMar>
          </w:tcPr>
          <w:p>
            <w:pPr>
              <w:spacing w:after="60"/>
            </w:pPr>
            <w:r>
              <w:rPr>
                <w:b w:val="false"/>
                <w:bCs w:val="false"/>
              </w:rPr>
              <w:t xml:space="preserve">2026-09-10</w:t>
            </w:r>
          </w:p>
        </w:tc>
        <w:tc>
          <w:tcPr>
            <w:tcMar>
              <w:top w:type="dxa" w:w="100"/>
              <w:left w:type="dxa" w:w="100"/>
              <w:bottom w:type="dxa" w:w="100"/>
              <w:right w:type="dxa" w:w="100"/>
            </w:tcMar>
          </w:tcPr>
          <w:p>
            <w:pPr>
              <w:spacing w:after="60"/>
            </w:pPr>
            <w:r>
              <w:rPr>
                <w:b w:val="false"/>
                <w:bCs w:val="false"/>
              </w:rPr>
              <w:t xml:space="preserve">Unknown — page could not be retrieved</w:t>
            </w:r>
          </w:p>
        </w:tc>
      </w:tr>
    </w:tbl>
    <w:p/>
    <w:p>
      <w:pPr>
        <w:pStyle w:val="Heading1"/>
        <w:keepNext/>
      </w:pPr>
      <w:r>
        <w:t xml:space="preserve">Sources</w:t>
      </w:r>
    </w:p>
    <w:p>
      <w:r>
        <w:t xml:space="preserve">Email App Integrations | Connect Kit With Shopify, Canva &amp; More</w:t>
      </w:r>
    </w:p>
    <w:p>
      <w:r>
        <w:t xml:space="preserve">https://kit.com/apps</w:t>
      </w:r>
    </w:p>
    <w:p>
      <w:r>
        <w:t xml:space="preserve">Accessed: 2026-09-10</w:t>
      </w:r>
    </w:p>
    <w:p>
      <w:r>
        <w:t xml:space="preserve">Official source retrieved on 2026-09-10. See the comparison for a short paraphrase; full vendor text is not redistributed.</w:t>
      </w:r>
    </w:p>
    <w:p>
      <w:r>
        <w:t xml:space="preserve">Email Automation for Creators | Build Funnels, Sequences &amp; Workflows in Minutes | Kit</w:t>
      </w:r>
    </w:p>
    <w:p>
      <w:r>
        <w:t xml:space="preserve">https://kit.com/features/automations</w:t>
      </w:r>
    </w:p>
    <w:p>
      <w:r>
        <w:t xml:space="preserve">Accessed: 2026-09-10</w:t>
      </w:r>
    </w:p>
    <w:p>
      <w:r>
        <w:t xml:space="preserve">Official source retrieved on 2026-09-10. See the comparison for a short paraphrase; full vendor text is not redistributed.</w:t>
      </w:r>
    </w:p>
    <w:p>
      <w:r>
        <w:t xml:space="preserve">Flexible Pricing Plans for Every Stage of Your Creator Business</w:t>
      </w:r>
    </w:p>
    <w:p>
      <w:r>
        <w:t xml:space="preserve">https://kit.com/pricing</w:t>
      </w:r>
    </w:p>
    <w:p>
      <w:r>
        <w:t xml:space="preserve">Accessed: 2026-09-10</w:t>
      </w:r>
    </w:p>
    <w:p>
      <w:r>
        <w:t xml:space="preserve">Official source retrieved on 2026-09-10. See the comparison for a short paraphrase; full vendor text is not redistributed.</w:t>
      </w:r>
    </w:p>
    <w:p>
      <w:r>
        <w:t xml:space="preserve">Marketing Automation Tools to Save Your Business Time | Mailchimp</w:t>
      </w:r>
    </w:p>
    <w:p>
      <w:r>
        <w:t xml:space="preserve">https://mailchimp.com/features/marketing-automation/</w:t>
      </w:r>
    </w:p>
    <w:p>
      <w:r>
        <w:t xml:space="preserve">Accessed: 2026-09-10</w:t>
      </w:r>
    </w:p>
    <w:p>
      <w:r>
        <w:t xml:space="preserve">Official source retrieved on 2026-09-10. See the comparison for a short paraphrase; full vendor text is not redistributed.</w:t>
      </w:r>
    </w:p>
    <w:p>
      <w:r>
        <w:t xml:space="preserve">Mailchimp Tools &amp; Apps Integration Directory | Mailchimp</w:t>
      </w:r>
    </w:p>
    <w:p>
      <w:r>
        <w:t xml:space="preserve">https://mailchimp.com/integrations/</w:t>
      </w:r>
    </w:p>
    <w:p>
      <w:r>
        <w:t xml:space="preserve">Accessed: 2026-09-10</w:t>
      </w:r>
    </w:p>
    <w:p>
      <w:r>
        <w:t xml:space="preserve">Official source retrieved on 2026-09-10. See the comparison for a short paraphrase; full vendor text is not redistributed.</w:t>
      </w:r>
    </w:p>
    <w:p>
      <w:r>
        <w:t xml:space="preserve">Mailchimp Pricing Plans | Get Started Today</w:t>
      </w:r>
    </w:p>
    <w:p>
      <w:r>
        <w:t xml:space="preserve">https://mailchimp.com/pricing/marketing/</w:t>
      </w:r>
    </w:p>
    <w:p>
      <w:r>
        <w:t xml:space="preserve">Accessed: 2026-09-10</w:t>
      </w:r>
    </w:p>
    <w:p>
      <w:r>
        <w:t xml:space="preserve">Official source retrieved on 2026-09-10. See the comparison for a short paraphrase; full vendor text is not redistributed.</w:t>
      </w:r>
    </w:p>
    <w:p>
      <w:r>
        <w:t xml:space="preserve">Brevo App Marketplace | Plugins &amp; Integrations</w:t>
      </w:r>
    </w:p>
    <w:p>
      <w:r>
        <w:t xml:space="preserve">https://www.brevo.com/integrations/</w:t>
      </w:r>
    </w:p>
    <w:p>
      <w:r>
        <w:t xml:space="preserve">Accessed: 2026-09-10</w:t>
      </w:r>
    </w:p>
    <w:p>
      <w:r>
        <w:t xml:space="preserve">Official source retrieved on 2026-09-10. See the comparison for a short paraphrase; full vendor text is not redistributed.</w:t>
      </w:r>
    </w:p>
    <w:p>
      <w:r>
        <w:t xml:space="preserve">Pricing Plans</w:t>
      </w:r>
    </w:p>
    <w:p>
      <w:r>
        <w:t xml:space="preserve">https://www.brevo.com/pricing/</w:t>
      </w:r>
    </w:p>
    <w:p>
      <w:r>
        <w:t xml:space="preserve">Accessed: 2026-09-10</w:t>
      </w:r>
    </w:p>
    <w:p>
      <w:r>
        <w:t xml:space="preserve">Official source retrieved on 2026-09-10. See the comparison for a short paraphrase; full vendor text is not redistributed.</w:t>
      </w:r>
    </w:p>
    <w:sectPr>
      <w:pgSz w:w="11906" w:h="16838" w:orient="portrait"/>
      <w:pgMar w:top="1134" w:right="1134" w:bottom="1134" w:left="1134"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Noto Sans CJK SC" w:cs="Noto Sans CJK SC" w:eastAsia="Noto Sans CJK SC" w:hAnsi="Noto Sans CJK SC"/>
        <w:color w:val="171B16"/>
        <w:sz w:val="22"/>
        <w:szCs w:val="22"/>
      </w:rPr>
    </w:rPrDefault>
    <w:pPrDefault>
      <w:pPr>
        <w:spacing w:line="320"/>
      </w:pPr>
    </w:pPrDefault>
  </w:docDefaults>
  <w:style w:type="paragraph" w:styleId="Title">
    <w:name w:val="Title"/>
    <w:basedOn w:val="Normal"/>
    <w:next w:val="Normal"/>
    <w:qFormat/>
    <w:rPr>
      <w:rFonts w:ascii="Noto Sans CJK SC" w:cs="Noto Sans CJK SC" w:eastAsia="Noto Sans CJK SC" w:hAnsi="Noto Sans CJK SC"/>
      <w:b/>
      <w:bCs/>
      <w:color w:val="171B16"/>
      <w:sz w:val="36"/>
      <w:szCs w:val="36"/>
    </w:rPr>
  </w:style>
  <w:style w:type="paragraph" w:styleId="Heading1">
    <w:name w:val="Heading 1"/>
    <w:basedOn w:val="Normal"/>
    <w:next w:val="Normal"/>
    <w:qFormat/>
    <w:rPr>
      <w:rFonts w:ascii="Noto Sans CJK SC" w:cs="Noto Sans CJK SC" w:eastAsia="Noto Sans CJK SC" w:hAnsi="Noto Sans CJK SC"/>
      <w:b/>
      <w:bCs/>
      <w:color w:val="171B16"/>
      <w:sz w:val="28"/>
      <w:szCs w:val="28"/>
    </w:rPr>
  </w:style>
  <w:style w:type="paragraph" w:styleId="Heading2">
    <w:name w:val="Heading 2"/>
    <w:basedOn w:val="Normal"/>
    <w:next w:val="Normal"/>
    <w:qFormat/>
    <w:rPr>
      <w:rFonts w:ascii="Noto Sans CJK SC" w:cs="Noto Sans CJK SC" w:eastAsia="Noto Sans CJK SC" w:hAnsi="Noto Sans CJK SC"/>
      <w:b/>
      <w:bCs/>
      <w:color w:val="171B16"/>
      <w:sz w:val="26"/>
      <w:szCs w:val="26"/>
    </w:rPr>
  </w:style>
  <w:style w:type="paragraph" w:styleId="Heading3">
    <w:name w:val="Heading 3"/>
    <w:basedOn w:val="Normal"/>
    <w:next w:val="Normal"/>
    <w:qFormat/>
    <w:rPr>
      <w:rFonts w:ascii="Noto Sans CJK SC" w:cs="Noto Sans CJK SC" w:eastAsia="Noto Sans CJK SC" w:hAnsi="Noto Sans CJK SC"/>
      <w:b/>
      <w:bCs/>
      <w:color w:val="171B16"/>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2026-09-10T08:11:17.484Z</dcterms:created>
  <dcterms:modified xsi:type="dcterms:W3CDTF">2026-09-10T08:11:17.484Z</dcterms:modified>
</cp:coreProperties>
</file>

<file path=docProps/custom.xml><?xml version="1.0" encoding="utf-8"?>
<Properties xmlns="http://schemas.openxmlformats.org/officeDocument/2006/custom-properties" xmlns:vt="http://schemas.openxmlformats.org/officeDocument/2006/docPropsVTypes"/>
</file>